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Anchoring Phenomenon Routine </w:t>
      </w:r>
    </w:p>
    <w:p w:rsidR="00000000" w:rsidDel="00000000" w:rsidP="00000000" w:rsidRDefault="00000000" w:rsidRPr="00000000" w14:paraId="00000002">
      <w:pPr>
        <w:jc w:val="center"/>
        <w:rPr>
          <w:b w:val="1"/>
        </w:rPr>
      </w:pPr>
      <w:r w:rsidDel="00000000" w:rsidR="00000000" w:rsidRPr="00000000">
        <w:rPr>
          <w:b w:val="1"/>
          <w:rtl w:val="0"/>
        </w:rPr>
        <w:t xml:space="preserve">Remote Science Learning Resources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resource development constraints - </w:t>
      </w:r>
    </w:p>
    <w:p w:rsidR="00000000" w:rsidDel="00000000" w:rsidP="00000000" w:rsidRDefault="00000000" w:rsidRPr="00000000" w14:paraId="00000005">
      <w:pPr>
        <w:ind w:left="720" w:hanging="630"/>
        <w:rPr/>
      </w:pPr>
      <w:r w:rsidDel="00000000" w:rsidR="00000000" w:rsidRPr="00000000">
        <w:rPr>
          <w:rtl w:val="0"/>
        </w:rPr>
        <w:t xml:space="preserve">Create remote learning opportunities for all students</w:t>
      </w:r>
    </w:p>
    <w:p w:rsidR="00000000" w:rsidDel="00000000" w:rsidP="00000000" w:rsidRDefault="00000000" w:rsidRPr="00000000" w14:paraId="00000006">
      <w:pPr>
        <w:ind w:left="720" w:hanging="630"/>
        <w:rPr/>
      </w:pPr>
      <w:r w:rsidDel="00000000" w:rsidR="00000000" w:rsidRPr="00000000">
        <w:rPr>
          <w:rtl w:val="0"/>
        </w:rPr>
        <w:t xml:space="preserve">Center experiences on “at home” resources, at home learning</w:t>
      </w:r>
    </w:p>
    <w:p w:rsidR="00000000" w:rsidDel="00000000" w:rsidP="00000000" w:rsidRDefault="00000000" w:rsidRPr="00000000" w14:paraId="00000007">
      <w:pPr>
        <w:ind w:left="720" w:hanging="630"/>
        <w:rPr/>
      </w:pPr>
      <w:r w:rsidDel="00000000" w:rsidR="00000000" w:rsidRPr="00000000">
        <w:rPr>
          <w:rtl w:val="0"/>
        </w:rPr>
        <w:t xml:space="preserve">Create opportunity for students to ask questions and begin explorations about common phenomenon</w:t>
      </w:r>
    </w:p>
    <w:p w:rsidR="00000000" w:rsidDel="00000000" w:rsidP="00000000" w:rsidRDefault="00000000" w:rsidRPr="00000000" w14:paraId="00000008">
      <w:pPr>
        <w:ind w:left="720" w:hanging="630"/>
        <w:rPr/>
      </w:pPr>
      <w:r w:rsidDel="00000000" w:rsidR="00000000" w:rsidRPr="00000000">
        <w:rPr>
          <w:rtl w:val="0"/>
        </w:rPr>
        <w:t xml:space="preserve">Provide support for teachers to implement high-quality, Framework-aligned, remote science learning</w:t>
      </w:r>
    </w:p>
    <w:p w:rsidR="00000000" w:rsidDel="00000000" w:rsidP="00000000" w:rsidRDefault="00000000" w:rsidRPr="00000000" w14:paraId="00000009">
      <w:pPr>
        <w:ind w:left="720" w:hanging="630"/>
        <w:rPr/>
      </w:pPr>
      <w:r w:rsidDel="00000000" w:rsidR="00000000" w:rsidRPr="00000000">
        <w:rPr>
          <w:rtl w:val="0"/>
        </w:rPr>
        <w:t xml:space="preserve">Focus on Anchoring Phenomenon Routine only, creating a list of potential investigations that students can do at home</w:t>
      </w:r>
    </w:p>
    <w:p w:rsidR="00000000" w:rsidDel="00000000" w:rsidP="00000000" w:rsidRDefault="00000000" w:rsidRPr="00000000" w14:paraId="0000000A">
      <w:pPr>
        <w:ind w:left="720" w:hanging="630"/>
        <w:rPr/>
      </w:pPr>
      <w:r w:rsidDel="00000000" w:rsidR="00000000" w:rsidRPr="00000000">
        <w:rPr>
          <w:rtl w:val="0"/>
        </w:rPr>
        <w:t xml:space="preserve">Provide short-term remote learning experiences for teachers - up to three weeks time assuming a couple science lessons per week</w:t>
      </w:r>
    </w:p>
    <w:p w:rsidR="00000000" w:rsidDel="00000000" w:rsidP="00000000" w:rsidRDefault="00000000" w:rsidRPr="00000000" w14:paraId="0000000B">
      <w:pPr>
        <w:ind w:left="720" w:hanging="630"/>
        <w:rPr/>
      </w:pPr>
      <w:r w:rsidDel="00000000" w:rsidR="00000000" w:rsidRPr="00000000">
        <w:rPr>
          <w:rtl w:val="0"/>
        </w:rPr>
        <w:t xml:space="preserve">Identify one PE bundle that connects specifically with at-home resources for each grade, K-5</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22222"/>
          <w:sz w:val="24"/>
          <w:szCs w:val="24"/>
        </w:rPr>
      </w:pPr>
      <w:r w:rsidDel="00000000" w:rsidR="00000000" w:rsidRPr="00000000">
        <w:rPr>
          <w:b w:val="1"/>
          <w:rtl w:val="0"/>
        </w:rPr>
        <w:t xml:space="preserve">Anchoring Phenomenon Routine</w:t>
      </w:r>
      <w:r w:rsidDel="00000000" w:rsidR="00000000" w:rsidRPr="00000000">
        <w:rPr>
          <w:rtl w:val="0"/>
        </w:rPr>
        <w:t xml:space="preserve"> - - Suggested “steps” </w:t>
      </w:r>
      <w:r w:rsidDel="00000000" w:rsidR="00000000" w:rsidRPr="00000000">
        <w:rPr>
          <w:color w:val="222222"/>
          <w:sz w:val="24"/>
          <w:szCs w:val="24"/>
          <w:rtl w:val="0"/>
        </w:rPr>
        <w:t xml:space="preserve">in an Anchoring Phenomenon Routine (slightly modified to include KLEWS chart)</w:t>
      </w:r>
    </w:p>
    <w:p w:rsidR="00000000" w:rsidDel="00000000" w:rsidP="00000000" w:rsidRDefault="00000000" w:rsidRPr="00000000" w14:paraId="0000000E">
      <w:pPr>
        <w:rPr>
          <w:color w:val="222222"/>
          <w:sz w:val="24"/>
          <w:szCs w:val="24"/>
        </w:rPr>
      </w:pPr>
      <w:r w:rsidDel="00000000" w:rsidR="00000000" w:rsidRPr="00000000">
        <w:rPr>
          <w:rtl w:val="0"/>
        </w:rPr>
      </w:r>
    </w:p>
    <w:p w:rsidR="00000000" w:rsidDel="00000000" w:rsidP="00000000" w:rsidRDefault="00000000" w:rsidRPr="00000000" w14:paraId="0000000F">
      <w:pPr>
        <w:rPr>
          <w:color w:val="222222"/>
          <w:sz w:val="24"/>
          <w:szCs w:val="24"/>
        </w:rPr>
      </w:pPr>
      <w:r w:rsidDel="00000000" w:rsidR="00000000" w:rsidRPr="00000000">
        <w:rPr>
          <w:color w:val="222222"/>
          <w:sz w:val="24"/>
          <w:szCs w:val="24"/>
          <w:rtl w:val="0"/>
        </w:rPr>
        <w:t xml:space="preserve">Students:</w:t>
      </w:r>
    </w:p>
    <w:p w:rsidR="00000000" w:rsidDel="00000000" w:rsidP="00000000" w:rsidRDefault="00000000" w:rsidRPr="00000000" w14:paraId="00000010">
      <w:pPr>
        <w:numPr>
          <w:ilvl w:val="0"/>
          <w:numId w:val="1"/>
        </w:numPr>
        <w:spacing w:after="0" w:afterAutospacing="0" w:before="24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Are presented with a phenomenon or design problem</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Write and discuss what they notice and wonder about from the initial presentation</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Create and compare initial models of the phenomenon or problem</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Identify related experiences and knowledge that they could draw upon to explain the phenomenon or solve the problem</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Create a KLEWS chart, Know and Wonderings columns</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Identify potential investigations to answer the Wonderings questions on the KLEWS chart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these resources, support is provided for teachers and students up to identifying investigations. Teachers are then provided ideas for the final list of investigations to allow students to investigate one question, independently. Sharing the investigations/results etc. could be completed in face-to-face instruction or remotely.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Grade Level Topics, Phenomenon and Resource Links</w:t>
      </w: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2970"/>
        <w:gridCol w:w="2715"/>
        <w:gridCol w:w="2880"/>
        <w:tblGridChange w:id="0">
          <w:tblGrid>
            <w:gridCol w:w="825"/>
            <w:gridCol w:w="2970"/>
            <w:gridCol w:w="271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 Title and NSTA PE Bundle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Anchoring </w:t>
            </w:r>
            <w:r w:rsidDel="00000000" w:rsidR="00000000" w:rsidRPr="00000000">
              <w:rPr>
                <w:b w:val="1"/>
                <w:rtl w:val="0"/>
              </w:rPr>
              <w:t xml:space="preserve">Phenomenon</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right="1215"/>
              <w:rPr>
                <w:b w:val="1"/>
              </w:rPr>
            </w:pPr>
            <w:r w:rsidDel="00000000" w:rsidR="00000000" w:rsidRPr="00000000">
              <w:rPr>
                <w:b w:val="1"/>
                <w:rtl w:val="0"/>
              </w:rPr>
              <w:t xml:space="preserve">URL for Grade Level 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
              <w:r w:rsidDel="00000000" w:rsidR="00000000" w:rsidRPr="00000000">
                <w:rPr>
                  <w:b w:val="1"/>
                  <w:color w:val="1155cc"/>
                  <w:u w:val="single"/>
                  <w:rtl w:val="0"/>
                </w:rPr>
                <w:t xml:space="preserve">Weather and Climate</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Weather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right="1215"/>
              <w:rPr>
                <w:b w:val="1"/>
              </w:rPr>
            </w:pPr>
            <w:hyperlink r:id="rId7">
              <w:r w:rsidDel="00000000" w:rsidR="00000000" w:rsidRPr="00000000">
                <w:rPr>
                  <w:b w:val="1"/>
                  <w:color w:val="1155cc"/>
                  <w:u w:val="single"/>
                  <w:rtl w:val="0"/>
                </w:rPr>
                <w:t xml:space="preserve">Kindergarten Resources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Space Systems: Patterns and Cycles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9">
              <w:r w:rsidDel="00000000" w:rsidR="00000000" w:rsidRPr="00000000">
                <w:rPr>
                  <w:b w:val="1"/>
                  <w:color w:val="1155cc"/>
                  <w:u w:val="single"/>
                  <w:rtl w:val="0"/>
                </w:rPr>
                <w:t xml:space="preserve">Interdependent Relationships in Ecosystems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Plants need different things to grow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b w:val="1"/>
              </w:rPr>
            </w:pPr>
            <w:hyperlink r:id="rId10">
              <w:r w:rsidDel="00000000" w:rsidR="00000000" w:rsidRPr="00000000">
                <w:rPr>
                  <w:b w:val="1"/>
                  <w:color w:val="1155cc"/>
                  <w:u w:val="single"/>
                  <w:rtl w:val="0"/>
                </w:rPr>
                <w:t xml:space="preserve">Grade Two Resource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b w:val="1"/>
                  <w:color w:val="1155cc"/>
                  <w:u w:val="single"/>
                  <w:rtl w:val="0"/>
                </w:rPr>
                <w:t xml:space="preserve">Weather and Climate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b w:val="1"/>
              </w:rPr>
            </w:pPr>
            <w:hyperlink r:id="rId12">
              <w:r w:rsidDel="00000000" w:rsidR="00000000" w:rsidRPr="00000000">
                <w:rPr>
                  <w:b w:val="1"/>
                  <w:color w:val="1155cc"/>
                  <w:u w:val="single"/>
                  <w:rtl w:val="0"/>
                </w:rPr>
                <w:t xml:space="preserve">Grade 3 Resources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3">
              <w:r w:rsidDel="00000000" w:rsidR="00000000" w:rsidRPr="00000000">
                <w:rPr>
                  <w:b w:val="1"/>
                  <w:color w:val="1155cc"/>
                  <w:u w:val="single"/>
                  <w:rtl w:val="0"/>
                </w:rPr>
                <w:t xml:space="preserve">Structure, Function, and Information Processing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Senses create reactions in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b w:val="1"/>
              </w:rPr>
            </w:pPr>
            <w:hyperlink r:id="rId14">
              <w:r w:rsidDel="00000000" w:rsidR="00000000" w:rsidRPr="00000000">
                <w:rPr>
                  <w:b w:val="1"/>
                  <w:color w:val="1155cc"/>
                  <w:u w:val="single"/>
                  <w:rtl w:val="0"/>
                </w:rPr>
                <w:t xml:space="preserve">Grade 4 Resource</w:t>
              </w:r>
            </w:hyperlink>
            <w:r w:rsidDel="00000000" w:rsidR="00000000" w:rsidRPr="00000000">
              <w:rPr>
                <w:b w:val="1"/>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5">
              <w:r w:rsidDel="00000000" w:rsidR="00000000" w:rsidRPr="00000000">
                <w:rPr>
                  <w:b w:val="1"/>
                  <w:color w:val="1155cc"/>
                  <w:u w:val="single"/>
                  <w:rtl w:val="0"/>
                </w:rPr>
                <w:t xml:space="preserve">Space Systems: Stars and the Solar System</w:t>
              </w:r>
            </w:hyperlink>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Shadows change and the change is predictable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b w:val="1"/>
              </w:rPr>
            </w:pPr>
            <w:hyperlink r:id="rId16">
              <w:r w:rsidDel="00000000" w:rsidR="00000000" w:rsidRPr="00000000">
                <w:rPr>
                  <w:b w:val="1"/>
                  <w:color w:val="1155cc"/>
                  <w:u w:val="single"/>
                  <w:rtl w:val="0"/>
                </w:rPr>
                <w:t xml:space="preserve">Grade 5 Resources</w:t>
              </w:r>
            </w:hyperlink>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Creative Commons Attribution statement: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If you use any of these resources and share them, please do so with attribution.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“Anchoring Phenomenon Routines, 2020” by MMSLN and MSTA is licensed under </w:t>
      </w:r>
      <w:hyperlink r:id="rId17">
        <w:r w:rsidDel="00000000" w:rsidR="00000000" w:rsidRPr="00000000">
          <w:rPr>
            <w:color w:val="1155cc"/>
            <w:u w:val="single"/>
            <w:rtl w:val="0"/>
          </w:rPr>
          <w:t xml:space="preserve">CC BY-NC-SA 4.0</w:t>
        </w:r>
      </w:hyperlink>
      <w:r w:rsidDel="00000000" w:rsidR="00000000" w:rsidRPr="00000000">
        <w:rPr>
          <w:rtl w:val="0"/>
        </w:rPr>
        <w:t xml:space="preserve">.</w:t>
      </w:r>
    </w:p>
    <w:sectPr>
      <w:headerReference r:id="rId18" w:type="default"/>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sz w:val="16"/>
        <w:szCs w:val="16"/>
      </w:rPr>
    </w:pPr>
    <w:r w:rsidDel="00000000" w:rsidR="00000000" w:rsidRPr="00000000">
      <w:rPr/>
      <w:drawing>
        <wp:inline distB="114300" distT="114300" distL="114300" distR="114300">
          <wp:extent cx="595313" cy="577803"/>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5313" cy="577803"/>
                  </a:xfrm>
                  <a:prstGeom prst="rect"/>
                  <a:ln/>
                </pic:spPr>
              </pic:pic>
            </a:graphicData>
          </a:graphic>
        </wp:inline>
      </w:drawing>
    </w:r>
    <w:r w:rsidDel="00000000" w:rsidR="00000000" w:rsidRPr="00000000">
      <w:rPr/>
      <w:drawing>
        <wp:inline distB="114300" distT="114300" distL="114300" distR="114300">
          <wp:extent cx="689285" cy="614363"/>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9285" cy="614363"/>
                  </a:xfrm>
                  <a:prstGeom prst="rect"/>
                  <a:ln/>
                </pic:spPr>
              </pic:pic>
            </a:graphicData>
          </a:graphic>
        </wp:inline>
      </w:drawing>
    </w:r>
    <w:r w:rsidDel="00000000" w:rsidR="00000000" w:rsidRPr="00000000">
      <w:rPr>
        <w:rtl w:val="0"/>
      </w:rPr>
      <w:t xml:space="preserve"> </w:t>
    </w:r>
    <w:r w:rsidDel="00000000" w:rsidR="00000000" w:rsidRPr="00000000">
      <w:rPr>
        <w:sz w:val="16"/>
        <w:szCs w:val="16"/>
      </w:rPr>
      <w:drawing>
        <wp:inline distB="114300" distT="114300" distL="114300" distR="114300">
          <wp:extent cx="838200" cy="295275"/>
          <wp:effectExtent b="0" l="0" r="0" t="0"/>
          <wp:docPr descr="Creative Commons License" id="2" name="image1.png"/>
          <a:graphic>
            <a:graphicData uri="http://schemas.openxmlformats.org/drawingml/2006/picture">
              <pic:pic>
                <pic:nvPicPr>
                  <pic:cNvPr descr="Creative Commons License" id="0" name="image1.png"/>
                  <pic:cNvPicPr preferRelativeResize="0"/>
                </pic:nvPicPr>
                <pic:blipFill>
                  <a:blip r:embed="rId3"/>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color w:val="464646"/>
        <w:sz w:val="16"/>
        <w:szCs w:val="16"/>
        <w:highlight w:val="white"/>
        <w:rtl w:val="0"/>
      </w:rPr>
      <w:t xml:space="preserve">This work is licensed under a </w:t>
    </w:r>
    <w:hyperlink r:id="rId4">
      <w:r w:rsidDel="00000000" w:rsidR="00000000" w:rsidRPr="00000000">
        <w:rPr>
          <w:color w:val="049ccf"/>
          <w:sz w:val="16"/>
          <w:szCs w:val="16"/>
          <w:rtl w:val="0"/>
        </w:rPr>
        <w:t xml:space="preserve">Creative Commons Attribution-NonCommercial-ShareAlike 4.0 International License</w:t>
      </w:r>
    </w:hyperlink>
    <w:r w:rsidDel="00000000" w:rsidR="00000000" w:rsidRPr="00000000">
      <w:rPr>
        <w:color w:val="464646"/>
        <w:sz w:val="16"/>
        <w:szCs w:val="16"/>
        <w:highlight w:val="whit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gss.nsta.org/DisplayStandard.aspx?view=topic&amp;id=14" TargetMode="External"/><Relationship Id="rId10" Type="http://schemas.openxmlformats.org/officeDocument/2006/relationships/hyperlink" Target="https://docs.google.com/document/d/1rmGyFks6QJjqH4XirQTTZQYiq81rXogoqA-NYOVa7mM/edit?usp=sharing" TargetMode="External"/><Relationship Id="rId13" Type="http://schemas.openxmlformats.org/officeDocument/2006/relationships/hyperlink" Target="https://ngss.nsta.org/DisplayStandard.aspx?view=topic&amp;id=17" TargetMode="External"/><Relationship Id="rId12" Type="http://schemas.openxmlformats.org/officeDocument/2006/relationships/hyperlink" Target="https://docs.google.com/document/d/1DiOarH2-wSgsEs0ok65-NVEjg32kxaks1hinRpvPsz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gss.nsta.org/DisplayStandard.aspx?view=topic&amp;id=8" TargetMode="External"/><Relationship Id="rId15" Type="http://schemas.openxmlformats.org/officeDocument/2006/relationships/hyperlink" Target="https://ngss.nsta.org/DisplayStandard.aspx?view=topic&amp;id=22" TargetMode="External"/><Relationship Id="rId14" Type="http://schemas.openxmlformats.org/officeDocument/2006/relationships/hyperlink" Target="https://docs.google.com/document/d/1DQ_JgXJ-9_NWSJv-siIfN0qRtRLG9Qvr8wwXnnKbWpc/edit" TargetMode="External"/><Relationship Id="rId17" Type="http://schemas.openxmlformats.org/officeDocument/2006/relationships/hyperlink" Target="https://creativecommons.org/licenses/by-nc-sa/4.0/" TargetMode="External"/><Relationship Id="rId16" Type="http://schemas.openxmlformats.org/officeDocument/2006/relationships/hyperlink" Target="https://docs.google.com/document/d/1CLJbgWKoMfhhjK9HiiqRfQnZ5YgYvbDfQFVm0am5T-Y/edit?usp=sharin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ngss.nsta.org/DisplayStandard.aspx?view=topic&amp;id=3" TargetMode="External"/><Relationship Id="rId18" Type="http://schemas.openxmlformats.org/officeDocument/2006/relationships/header" Target="header1.xml"/><Relationship Id="rId7" Type="http://schemas.openxmlformats.org/officeDocument/2006/relationships/hyperlink" Target="https://docs.google.com/document/d/1XaMTTRzF6ebeMB-og-dd0zOvN_8CP5LArqrOWMRjwdY/edit?usp=sharing" TargetMode="External"/><Relationship Id="rId8" Type="http://schemas.openxmlformats.org/officeDocument/2006/relationships/hyperlink" Target="https://ngss.nsta.org/DisplayStandard.aspx?view=topic&amp;id=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